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drawing>
          <wp:inline distT="0" distB="0" distL="0" distR="0">
            <wp:extent cx="5715000" cy="1428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600"/>
        <w:jc w:val="center"/>
      </w:pPr>
      <w:r>
        <w:rPr>
          <w:rFonts w:ascii="Montserrat" w:cs="Montserrat" w:eastAsia="Montserrat" w:hAnsi="Montserrat"/>
          <w:b/>
          <w:bCs/>
          <w:color w:val="0F1263"/>
          <w:sz w:val="56"/>
          <w:szCs w:val="56"/>
        </w:rPr>
        <w:t xml:space="preserve">Project Insights</w:t>
      </w:r>
    </w:p>
    <w:p>
      <w:pPr>
        <w:spacing w:after="80"/>
        <w:jc w:val="center"/>
      </w:pPr>
      <w:r>
        <w:rPr>
          <w:rFonts w:ascii="Montserrat" w:cs="Montserrat" w:eastAsia="Montserrat" w:hAnsi="Montserrat"/>
          <w:color w:val="009DDD"/>
          <w:sz w:val="32"/>
          <w:szCs w:val="32"/>
        </w:rPr>
        <w:t xml:space="preserve">User Guide</w:t>
      </w:r>
    </w:p>
    <w:p>
      <w:pPr>
        <w:pBdr>
          <w:bottom w:val="single" w:color="CAD400" w:sz="18" w:space="1"/>
        </w:pBdr>
        <w:spacing w:after="200"/>
        <w:ind w:left="3600" w:right="3600"/>
        <w:jc w:val="center"/>
      </w:pPr>
    </w:p>
    <w:p>
      <w:pPr>
        <w:spacing w:after="600"/>
        <w:jc w:val="center"/>
      </w:pPr>
      <w:r>
        <w:rPr>
          <w:rFonts w:ascii="Montserrat" w:cs="Montserrat" w:eastAsia="Montserrat" w:hAnsi="Montserrat"/>
          <w:color w:val="707372"/>
          <w:sz w:val="22"/>
          <w:szCs w:val="22"/>
        </w:rPr>
        <w:t xml:space="preserve">Enterprise project portfolio management for Sequel Ortho</w:t>
      </w:r>
    </w:p>
    <w:p>
      <w:pPr>
        <w:jc w:val="center"/>
      </w:pPr>
      <w:r>
        <w:rPr>
          <w:rFonts w:ascii="Montserrat" w:cs="Montserrat" w:eastAsia="Montserrat" w:hAnsi="Montserrat"/>
          <w:color w:val="707372"/>
          <w:sz w:val="19"/>
          <w:szCs w:val="19"/>
        </w:rPr>
        <w:t xml:space="preserve">Version 1.1 · June 2026 · https://sequelorthoprojects.com</w:t>
      </w:r>
    </w:p>
    <w:p>
      <w:pPr>
        <w:pageBreakBefore/>
      </w:pPr>
    </w:p>
    <w:p>
      <w:pPr>
        <w:spacing w:after="200"/>
      </w:pPr>
      <w:r>
        <w:rPr>
          <w:rFonts w:ascii="Montserrat" w:cs="Montserrat" w:eastAsia="Montserrat" w:hAnsi="Montserrat"/>
          <w:b/>
          <w:bCs/>
          <w:color w:val="0F1263"/>
          <w:sz w:val="28"/>
          <w:szCs w:val="28"/>
        </w:rPr>
        <w:t xml:space="preserve">Contents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1. Welcome to Project Insights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Project Insights is the single source of truth for Sequel Ortho's enterprise project portfolio — 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181 projects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across Sequel Ortho, OrthoNebraska, Fox Valley, Kansas, and Colorado that used to live in the manually-maintained </w:t>
      </w:r>
      <w:r>
        <w:rPr>
          <w:rFonts w:ascii="Montserrat" w:cs="Montserrat" w:eastAsia="Montserrat" w:hAnsi="Montserrat"/>
          <w:i/>
          <w:iCs/>
          <w:color w:val="27272A"/>
          <w:sz w:val="21"/>
          <w:szCs w:val="21"/>
        </w:rPr>
        <w:t xml:space="preserve">2026 Leadership Project Priorities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workbook. Instead of one person hand-editing a spreadsheet, project managers submit updates directly, dependencies and resource conflicts are tracked in one place, and leadership materials generate themselves from live data.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application is available to everyone in the organization at </w:t>
      </w: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https://sequelorthoprojects.com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 It works in any modern browser — nothing to install.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Project managers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submit monthly status updates (on the web or via Excel), keep project details current, and record dependencies.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Sponsors and functional leaders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review status, watch the dashboard, and spot resource conflicts before they bite.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Leadership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pull the branded PowerPoint deck for monthly reviews, filtered to exactly the cut you need.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Sign-in is currently open while the platform rolls out. Microsoft sign-in (Entra) can be switched on later without any change to how the app works.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2. A Quick Tour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home page links to every surface, and the navigation bar at the top of every page gets you anywhere in one click: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Surface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What it's for</w:t>
            </w:r>
          </w:p>
        </w:tc>
      </w:tr>
      <w:t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Dashboard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Portfolio health at a glance — status distribution, trends, financial impact, throughput, and who owes a monthly update.</w:t>
            </w:r>
          </w:p>
        </w:tc>
      </w:tr>
      <w:t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Projects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The full inventory. Search, filter, sort; open any project to see or edit its details, submit updates, and manage dependencies.</w:t>
            </w:r>
          </w:p>
        </w:tc>
      </w:tr>
      <w:t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Timeline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Every active project laid across its 2026 sprint window, colored by current status.</w:t>
            </w:r>
          </w:p>
        </w:tc>
      </w:tr>
      <w:t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Resources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Where projects compete for the same people — PM double-bookings and IT/Analytics demand vs. capacity per sprint.</w:t>
            </w:r>
          </w:p>
        </w:tc>
      </w:tr>
      <w:t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Reports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Download the branded leadership deck (.pptx), filtered by entity, sprint, or at-risk.</w:t>
            </w:r>
          </w:p>
        </w:tc>
      </w:tr>
      <w:tr>
        <w:tc>
          <w:tcPr>
            <w:tcW w:type="pct" w:w="22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Bulk Update (Excel)</w:t>
            </w:r>
          </w:p>
        </w:tc>
        <w:tc>
          <w:tcPr>
            <w:tcW w:type="pct" w:w="78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Download a pre-filled status template, fill it offline, upload it back with a preview before anything is saved.</w:t>
            </w:r>
          </w:p>
        </w:tc>
      </w:tr>
    </w:tbl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3. The Dashboard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dashboard is computed live from the latest reported status of every project. Definitions used throughout: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pct" w:w="8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pct" w:w="2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Active</w:t>
            </w:r>
          </w:p>
        </w:tc>
        <w:tc>
          <w:tcPr>
            <w:tcW w:type="pct" w:w="8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Progress below 100%. Completed projects drop out of active views automatically.</w:t>
            </w:r>
          </w:p>
        </w:tc>
      </w:tr>
      <w:tr>
        <w:tc>
          <w:tcPr>
            <w:tcW w:type="pct" w:w="2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At risk</w:t>
            </w:r>
          </w:p>
        </w:tc>
        <w:tc>
          <w:tcPr>
            <w:tcW w:type="pct" w:w="8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Latest report shows Yellow or Red on any of Scope / Schedule / Budget — or the project is blocked.</w:t>
            </w:r>
          </w:p>
        </w:tc>
      </w:tr>
      <w:tr>
        <w:tc>
          <w:tcPr>
            <w:tcW w:type="pct" w:w="2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Blocked</w:t>
            </w:r>
          </w:p>
        </w:tc>
        <w:tc>
          <w:tcPr>
            <w:tcW w:type="pct" w:w="8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A recorded Finish → Start predecessor is not yet complete (see Dependencies, section 8).</w:t>
            </w:r>
          </w:p>
        </w:tc>
      </w:tr>
      <w:tr>
        <w:tc>
          <w:tcPr>
            <w:tcW w:type="pct" w:w="2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Overdue update</w:t>
            </w:r>
          </w:p>
        </w:tc>
        <w:tc>
          <w:tcPr>
            <w:tcW w:type="pct" w:w="8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An active project with no status report submitted this calendar month (or never).</w:t>
            </w:r>
          </w:p>
        </w:tc>
      </w:tr>
      <w:tr>
        <w:tc>
          <w:tcPr>
            <w:tcW w:type="pct" w:w="2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n/r</w:t>
            </w:r>
          </w:p>
        </w:tc>
        <w:tc>
          <w:tcPr>
            <w:tcW w:type="pct" w:w="8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Not yet reported — the project has no monthly status submission yet.</w:t>
            </w:r>
          </w:p>
        </w:tc>
      </w:tr>
    </w:tbl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Reading the cards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Current status (RYG)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one stacked bar each for Scope, Schedule, and Budget across all active projects, with green / yellow / red / not-reported counts.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Status trend by reporting period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the same three bars for every reporting month, oldest first, so you can see the portfolio improving or degrading over time.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2026 operational impact by entity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expected vs. actual operational dollars. The header also shows 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confidence-weighted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total: each project's expected dollars multiplied by its probability of hitting them (a $100,000 project at 50% confidence contributes $50,000). Projects without a stated confidence count at face value.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Throughput by sprint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completed vs. total projects per sprint; the bar fills as a sprint's projects finish.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Overdue monthly updates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the chase list. Grouped by project manager, with each project's last-reported period. If you manage projects, keeping your name off this board is the goal; one quick update per project per month does it.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4. The Project Inventory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Open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Projects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 see the whole portfolio in one table.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Search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matches project name, sponsor, project manager, and strategic imperative as you type.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Entity and Type filters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narrow to one organization (e.g. OrthoNebraska) or one delivery type (Sprint, JDI, MGP, Capital Only).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Sortable columns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click Project, Entity, PM, or % Complete headers to sort; click again to reverse.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Status dots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the three dots in each row are the latest Scope / Schedule / Budget readings (grey = not yet reported). Hover for the label.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Show archived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archived projects are hidden by default; tick the checkbox (it appears once anything is archived) to include them, marked with an amber Archived badge.</w:t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Saved filters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Set up a view you use often (say, your own entity + Sprint type), type a name into “Save filter as…”, and click Save. The view re-applies any time from the “Saved filters…” dropdown; Delete removes the selected one.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Saved filters are stored in your browser, so they're personal to you and to the computer you saved them on.</w:t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The project page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Click any project name to open its detail page: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Overview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sponsor, PM, team, sprint, priority, payoff quadrant, core process, resource flags, % complete.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Objective &amp; KPI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and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Financial Impact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the why and the dollars (expected/actual, 2026 and 2027, operational and capital, capital priority, confidence).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Dependencies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what this project waits on and what waits on it (section 8).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Status History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every monthly report ever submitted, newest first.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5. Submitting Your Monthly Update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This is the core PM workflow — it replaces emailing edits to the workbook owner. From a project page, click </w:t>
      </w: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Submit monthly update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1.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Confirm the reporting period (it defaults to the current month, e.g. “June 2026”).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2.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Set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Scope, Schedule, and Budget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 Green, Yellow, or Red (see the meanings below).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3.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If anything is Yellow or Red, pick 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Root Cause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and describe 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Mitigation Plan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4.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Update Progress (0–100%), the value statements, KPIs, and your notes for the month.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5.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Submit update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 The report lands in the project's Status History immediately and flows to the dashboard, timeline, and leadership deck.</w:t>
      </w:r>
    </w:p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What the colors mean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pct" w:w="8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Meaning</w:t>
            </w:r>
          </w:p>
        </w:tc>
      </w:tr>
      <w:tr>
        <w:tc>
          <w:tcPr>
            <w:tcW w:type="pct" w:w="1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16A34A"/>
                <w:sz w:val="21"/>
                <w:szCs w:val="21"/>
              </w:rPr>
              <w:t xml:space="preserve">Green</w:t>
            </w:r>
          </w:p>
        </w:tc>
        <w:tc>
          <w:tcPr>
            <w:tcW w:type="pct" w:w="8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On track — proceeding as planned.</w:t>
            </w:r>
          </w:p>
        </w:tc>
      </w:tr>
      <w:tr>
        <w:tc>
          <w:tcPr>
            <w:tcW w:type="pct" w:w="1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A16207"/>
                <w:sz w:val="21"/>
                <w:szCs w:val="21"/>
              </w:rPr>
              <w:t xml:space="preserve">Yellow</w:t>
            </w:r>
          </w:p>
        </w:tc>
        <w:tc>
          <w:tcPr>
            <w:tcW w:type="pct" w:w="8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Risks or minor issues need attention; mitigation is in motion.</w:t>
            </w:r>
          </w:p>
        </w:tc>
      </w:tr>
      <w:tr>
        <w:tc>
          <w:tcPr>
            <w:tcW w:type="pct" w:w="1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DC2626"/>
                <w:sz w:val="21"/>
                <w:szCs w:val="21"/>
              </w:rPr>
              <w:t xml:space="preserve">Red</w:t>
            </w:r>
          </w:p>
        </w:tc>
        <w:tc>
          <w:tcPr>
            <w:tcW w:type="pct" w:w="8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Serious problems threaten scope, schedule, or budget — leadership attention needed.</w:t>
            </w:r>
          </w:p>
        </w:tc>
      </w:tr>
    </w:tbl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Root causes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When a status is Yellow or Red, pick the dominant driver: IT Resource Constraint · Analytics Resource Constraint · Other Resources Constraint · Time Estimate to Complete · Funding · 3rd Party Vendor · Legal / Contract · Scope Creek. These feed the resource-contention views, so an accurate pick matters.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Each submission is a new record, so the trend view stays honest. Made a mistake? Any report can be edited or deleted afterwards — see section 8, Correcting &amp; Removing Data.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6. Editing Project Details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From a project page, 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Edit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 change the structured fields: name, department, entity, strategic imperative, sponsor, PM, team, sprint, type, priorities, core process, % complete, confidence, objective, goal, KPI, and notes. Picking a person or category not yet in the lists simply adds it.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Financials &amp; Scheduling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section covers everything that used to live only in the workbook's money columns: capital-project flag and spend quarter, capital priority, JDI / MGP quarters and duration, and the eight expected/actual operational and capital dollar fields for 2026 and 2027 — so every imported value can be corrected in place.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Percent complete on the project is the baseline figure; the progress you report in a monthly update supersedes it in dashboards once submitted.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7. Bulk Updates with Excel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If you prefer working offline — or you're updating many projects at once — use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Bulk Update (Excel)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from the Projects page or home page.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1.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Optionally choose a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Project Manager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so the template contains only their projects, then 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Download template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2.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Fill in the status columns in Excel. Every row is pre-filled with the Project ID, name, and current period; the RYG and Root Cause columns have dropdowns so values stay valid. Progress is entered 0–100.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3.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Back in the app, choose the file and 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Preview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 Every row is checked and shown as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ready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or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error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with the specific problem — nothing is saved yet.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4.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Fix any errors in Excel and re-upload, then 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Commit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 save all ready rows as monthly updates.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Don't edit the Project ID or Project Name columns — they're how rows match back to projects. Rows you leave blank are simply skipped.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8. Correcting &amp; Removing Data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Everything captured in Project Insights — imported from the workbook or entered since — can be corrected in place. No re-import needed.</w:t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Fixing or removing a status report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In a project's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Status History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, every row has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Edit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and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Delete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actions. Edit opens the same form used to submit, pre-filled — change anything (including the period) and save; the row shows an </w:t>
      </w:r>
      <w:r>
        <w:rPr>
          <w:rFonts w:ascii="Montserrat" w:cs="Montserrat" w:eastAsia="Montserrat" w:hAnsi="Montserrat"/>
          <w:i/>
          <w:iCs/>
          <w:color w:val="27272A"/>
          <w:sz w:val="21"/>
          <w:szCs w:val="21"/>
        </w:rPr>
        <w:t xml:space="preserve">(edited)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marker afterwards. Delete asks for confirmation and permanently removes that one report; dashboards and decks immediately reflect the previous one.</w:t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Archiving a project (the usual way to remove one)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At the bottom of each project page,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Archive project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hides the project from the inventory, dashboard, timeline, resources, decks, and Excel templates — without deleting anything. It stays reachable via the inventory's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Show archived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toggle, displays an amber banner, and can be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Restored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with one click. Use archive for canceled, on-hold, or deduplicated work — it preserves the record (this replaces the old habit of typing “CANCELED” into the project name).</w:t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Deleting a project permanently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Permanent deletion is reserved for true mistakes — duplicates or test entries. It is intentionally two steps: archive the project first, then choose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Delete permanently…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and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type the project's exact name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to confirm. This removes the project together with its entire status history and dependency links, and it cannot be undone.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Rule of thumb (standard practice in portfolio tools): archive when the work mattered, delete only when the record never should have existed.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9. Dependencies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Dependencies capture what the workbook never could: which projects wait on which. Each project page has a Dependencies panel with two lists — what it depends on (upstream) and what it blocks or feeds (downstream).</w:t>
      </w:r>
    </w:p>
    <w:p>
      <w:pPr>
        <w:pStyle w:val="Heading2"/>
        <w:spacing w:after="120" w:before="260"/>
      </w:pPr>
      <w:r>
        <w:rPr>
          <w:rFonts w:ascii="Montserrat" w:cs="Montserrat" w:eastAsia="Montserrat" w:hAnsi="Montserrat"/>
          <w:b/>
          <w:bCs/>
          <w:color w:val="009DDD"/>
          <w:sz w:val="24"/>
          <w:szCs w:val="24"/>
        </w:rPr>
        <w:t xml:space="preserve">Adding one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1.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Choose the direction: “This project depends on…” or “This project blocks/feeds…”.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2.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Pick the other project and the dependency type (below); optionally add lag days and a note.</w:t>
      </w:r>
    </w:p>
    <w:p>
      <w:pPr>
        <w:spacing w:after="100"/>
        <w:ind w:left="280"/>
      </w:pPr>
      <w:r>
        <w:rPr>
          <w:rFonts w:ascii="Montserrat" w:cs="Montserrat" w:eastAsia="Montserrat" w:hAnsi="Montserrat"/>
          <w:b/>
          <w:bCs/>
          <w:color w:val="009DDD"/>
          <w:sz w:val="21"/>
          <w:szCs w:val="21"/>
        </w:rPr>
        <w:t xml:space="preserve">3.  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Add dependency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</w:t>
      </w:r>
    </w:p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Type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shd w:fill="0F126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Use it when…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Finish → Start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The other project must finish before this one can start (capability sequencing). This is the type that drives “Blocked” flags.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Start → Start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Both must kick off together (shared mobilization).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Resource contention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The projects compete for the same people — record it when you've agreed who yields.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Vendor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A shared third-party vendor gates progress.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Funding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Capital or budget approval upstream.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Legal / Contract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Contract execution or legal review gates the work.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Decision / Approval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Awaiting a governance or leadership decision.</w:t>
            </w:r>
          </w:p>
        </w:tc>
      </w:tr>
      <w:tr>
        <w:tc>
          <w:tcPr>
            <w:tcW w:type="pct" w:w="2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b/>
                <w:bCs/>
                <w:color w:val="27272A"/>
                <w:sz w:val="21"/>
                <w:szCs w:val="21"/>
              </w:rPr>
              <w:t xml:space="preserve">Data</w:t>
            </w:r>
          </w:p>
        </w:tc>
        <w:tc>
          <w:tcPr>
            <w:tcW w:type="pct" w:w="75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Montserrat" w:cs="Montserrat" w:eastAsia="Montserrat" w:hAnsi="Montserrat"/>
                <w:color w:val="27272A"/>
                <w:sz w:val="19"/>
                <w:szCs w:val="19"/>
              </w:rPr>
              <w:t xml:space="preserve">Needs data, an interface, or a report another project delivers.</w:t>
            </w:r>
          </w:p>
        </w:tc>
      </w:tr>
    </w:tbl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Blocked badge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when a Finish → Start predecessor is incomplete, the dependent project shows a red “Blocked” badge on its page, the timeline (⛔), the dashboard counts, and the leadership deck.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Cycle protection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the app refuses sequencing loops (A waits on B while B waits on A, even through intermediaries), so the schedule always has a workable order.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Best practice: record dependencies at project kickoff, when they're known and cheap to write down — not when they've already bitten.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10. Resource Contention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Resources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page surfaces, before a sprint starts, what used to appear only afterwards as “IT Resource Constraint” root causes: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PM double-bookings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any project manager with more than one active project in the same sprint, with the conflicting projects listed.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Team capacity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the IT and Analytics teams' weekly project-work hours, from the workbook's staffing model (headcount × the share of each week available for project work).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Sprint demand vs. capacity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how many active projects per sprint are flagged as needing IT or Analytics, and the implied utilization assuming roughly 3 hours/week per flagged project (the workbook's “medium” sizing). Amber means above 85%; red means demand exceeds capacity.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Use it during sprint planning: if Sprint 2 shows IT at 110%, something moves before the sprint starts — not after it fails.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11. The Timeline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Timeline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page draws every active project as a bar across its sprint window in 2026. Bar color is the worst of the project's latest Scope/Schedule/Budget (grey = not yet reported); ⛔ marks projects blocked on a dependency. Projects in sprints without dates (Sprint 0, Sprint 7) are listed below the chart. Click any name to open the project.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12. Reports — the Leadership Deck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Reports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page generates a presentation-ready PowerPoint from live data — no more hand-assembled monthly decks. Choose an entity, a sprint, and/or “at-risk only”, then click </w:t>
      </w: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Download deck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.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deck follows the SequelOrtho PowerPoint template (16:9, Montserrat, brand colors) and contains: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Cover — period and the filters used.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Portfolio Summary — projects in scope, at-risk and blocked counts, and the Green/Yellow/Red rollup by sponsor.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Status by sprint — every reporting project with colored Scope/Schedule/Budget cells, progress, root cause, and notes.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Resource Constraints — PM double-bookings and team demand vs. capacity.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Budget Readout — expected vs. actual 2026 operational and capital dollars by entity, with totals.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Blocked on Dependencies — what's waiting and on what.</w:t>
      </w:r>
    </w:p>
    <w:p>
      <w:pPr>
        <w:shd w:fill="F8F8F8" w:val="clear"/>
        <w:spacing w:after="160" w:before="80"/>
        <w:ind w:left="200" w:right="200"/>
      </w:pPr>
      <w:r>
        <w:rPr>
          <w:rFonts w:ascii="Montserrat" w:cs="Montserrat" w:eastAsia="Montserrat" w:hAnsi="Montserrat"/>
          <w:b/>
          <w:bCs/>
          <w:i/>
          <w:iCs/>
          <w:color w:val="707372"/>
          <w:sz w:val="21"/>
          <w:szCs w:val="21"/>
        </w:rPr>
        <w:t xml:space="preserve">Note — </w:t>
      </w:r>
      <w:r>
        <w:rPr>
          <w:rFonts w:ascii="Montserrat" w:cs="Montserrat" w:eastAsia="Montserrat" w:hAnsi="Montserrat"/>
          <w:i/>
          <w:iCs/>
          <w:color w:val="707372"/>
          <w:sz w:val="21"/>
          <w:szCs w:val="21"/>
        </w:rPr>
        <w:t xml:space="preserve">The “at-risk only” cut is ideal for exception-based reviews: a deck containing nothing but the projects that need the room's attention.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13. Tips &amp; Troubleshooting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Everything is live.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Pages and decks read the database at the moment you open them — submit an update and it's in the next deck.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Downloads open in Word/Excel/PowerPoint.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If your browser has an “Office editing” extension that tries to open files in Google Docs, this guide's download already routes around it; exported templates and decks download as normal files.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Who can edit?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While sign-in is off, anyone with the link can edit — appropriate for the rollout phase. Once Microsoft sign-in is enabled, edits require an organizational account and updates are attributed to the submitter.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Saved filters are per-browser.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They're not shared with colleagues; everyone curates their own.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A project is missing?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Check the search box and filters first — and tick Show archived, in case it was archived. If it's genuinely absent, ask the portfolio administrator.</w:t>
      </w:r>
    </w:p>
    <w:p>
      <w:pPr>
        <w:pStyle w:val="Heading1"/>
        <w:spacing w:after="160" w:before="360"/>
      </w:pPr>
      <w:r>
        <w:rPr>
          <w:rFonts w:ascii="Montserrat" w:cs="Montserrat" w:eastAsia="Montserrat" w:hAnsi="Montserrat"/>
          <w:b/>
          <w:bCs/>
          <w:color w:val="0F1263"/>
          <w:sz w:val="30"/>
          <w:szCs w:val="30"/>
        </w:rPr>
        <w:t xml:space="preserve">Appendix — For Administrators</w:t>
      </w:r>
    </w:p>
    <w:p>
      <w:pPr>
        <w:spacing w:after="12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The platform is operated from the project repository (buckygrad/project-insights). Day-to-day administration: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Workbook import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</w:t>
      </w:r>
      <w:r>
        <w:rPr>
          <w:rFonts w:ascii="Courier New" w:cs="Courier New" w:eastAsia="Courier New" w:hAnsi="Courier New"/>
          <w:color w:val="27272A"/>
          <w:sz w:val="19"/>
          <w:szCs w:val="19"/>
        </w:rPr>
        <w:t xml:space="preserve">npm run import:workbook -- "&lt;path&gt;.xlsx"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loads projects and LP status sheets. Add </w:t>
      </w:r>
      <w:r>
        <w:rPr>
          <w:rFonts w:ascii="Courier New" w:cs="Courier New" w:eastAsia="Courier New" w:hAnsi="Courier New"/>
          <w:color w:val="27272A"/>
          <w:sz w:val="19"/>
          <w:szCs w:val="19"/>
        </w:rPr>
        <w:t xml:space="preserve">--dry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for a parse report with no writes. A full re-import refuses to wipe user-entered dependencies unless </w:t>
      </w:r>
      <w:r>
        <w:rPr>
          <w:rFonts w:ascii="Courier New" w:cs="Courier New" w:eastAsia="Courier New" w:hAnsi="Courier New"/>
          <w:color w:val="27272A"/>
          <w:sz w:val="19"/>
          <w:szCs w:val="19"/>
        </w:rPr>
        <w:t xml:space="preserve">--force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is given.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Capacity refresh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</w:t>
      </w:r>
      <w:r>
        <w:rPr>
          <w:rFonts w:ascii="Courier New" w:cs="Courier New" w:eastAsia="Courier New" w:hAnsi="Courier New"/>
          <w:color w:val="27272A"/>
          <w:sz w:val="19"/>
          <w:szCs w:val="19"/>
        </w:rPr>
        <w:t xml:space="preserve">npm run import:workbook -- "&lt;path&gt;.xlsx" --capacity-only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reloads the IT/Analytics staffing model without touching projects, status, or dependencies.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Vocabularies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entities, strategic imperatives, categories, sprints, and root causes are seeded by </w:t>
      </w:r>
      <w:r>
        <w:rPr>
          <w:rFonts w:ascii="Courier New" w:cs="Courier New" w:eastAsia="Courier New" w:hAnsi="Courier New"/>
          <w:color w:val="27272A"/>
          <w:sz w:val="19"/>
          <w:szCs w:val="19"/>
        </w:rPr>
        <w:t xml:space="preserve">npm run db:seed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and grow automatically when editors introduce new values.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Deployment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merging to main runs the test gate and auto-deploys to Netlify. Configuration (database URL, auth mode) lives in site environment variables; see docs/go-live.md in the repository.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Montserrat" w:cs="Montserrat" w:eastAsia="Montserrat" w:hAnsi="Montserrat"/>
          <w:b/>
          <w:bCs/>
          <w:color w:val="27272A"/>
          <w:sz w:val="21"/>
          <w:szCs w:val="21"/>
        </w:rPr>
        <w:t xml:space="preserve">Turning on Microsoft sign-in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— register an Entra application, set the AUTH_* variables, and switch AUTH_MODE to “entra” (runbook step 4 in docs/go-live.md).</w:t>
      </w:r>
    </w:p>
    <w:p>
      <w:pPr>
        <w:spacing w:after="6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/>
      </w:r>
    </w:p>
    <w:p>
      <w:pPr>
        <w:spacing w:before="200"/>
      </w:pP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Questions or ideas? The portfolio team owns this guide — regenerate it with </w:t>
      </w:r>
      <w:r>
        <w:rPr>
          <w:rFonts w:ascii="Courier New" w:cs="Courier New" w:eastAsia="Courier New" w:hAnsi="Courier New"/>
          <w:color w:val="27272A"/>
          <w:sz w:val="19"/>
          <w:szCs w:val="19"/>
        </w:rPr>
        <w:t xml:space="preserve">npm run build:user-guide</w:t>
      </w:r>
      <w:r>
        <w:rPr>
          <w:rFonts w:ascii="Montserrat" w:cs="Montserrat" w:eastAsia="Montserrat" w:hAnsi="Montserrat"/>
          <w:color w:val="27272A"/>
          <w:sz w:val="21"/>
          <w:szCs w:val="21"/>
        </w:rPr>
        <w:t xml:space="preserve"> after editing scripts/build-user-guide.mjs.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ontserrat" w:cs="Montserrat" w:eastAsia="Montserrat" w:hAnsi="Montserrat"/>
        <w:color w:val="707372"/>
        <w:sz w:val="17"/>
        <w:szCs w:val="17"/>
      </w:rPr>
      <w:t xml:space="preserve">Project Insights · Sequel Ortho — User Guide · Page </w:t>
    </w:r>
    <w:r>
      <w:rPr>
        <w:rFonts w:ascii="Montserrat" w:cs="Montserrat" w:eastAsia="Montserrat" w:hAnsi="Montserrat"/>
        <w:color w:val="707372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color w:val="27272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8965c6782dbba74493f3fa111f75acf987d69354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Insights — User Guide</dc:title>
  <dc:creator>Project Insights</dc:creator>
  <dc:description>User guide for the Sequel Ortho enterprise project portfolio platform.</dc:description>
  <cp:lastModifiedBy>Un-named</cp:lastModifiedBy>
  <cp:revision>1</cp:revision>
  <dcterms:created xsi:type="dcterms:W3CDTF">2026-06-10T23:10:50.883Z</dcterms:created>
  <dcterms:modified xsi:type="dcterms:W3CDTF">2026-06-10T23:10:50.889Z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